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 w:hint="cs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  <w:r w:rsidR="00731BA2">
        <w:rPr>
          <w:rFonts w:cs="B Nazanin" w:hint="cs"/>
          <w:sz w:val="36"/>
          <w:szCs w:val="36"/>
          <w:rtl/>
          <w:lang w:bidi="fa-IR"/>
        </w:rPr>
        <w:t>سال1395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CDA15" wp14:editId="519739A2">
                      <wp:simplePos x="0" y="0"/>
                      <wp:positionH relativeFrom="column">
                        <wp:posOffset>112143</wp:posOffset>
                      </wp:positionH>
                      <wp:positionV relativeFrom="paragraph">
                        <wp:posOffset>79435</wp:posOffset>
                      </wp:positionV>
                      <wp:extent cx="1078302" cy="940279"/>
                      <wp:effectExtent l="0" t="0" r="26670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8302" cy="94027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78CDA15"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731BA2" w:rsidRPr="00731BA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</w:t>
            </w:r>
          </w:p>
          <w:p w:rsidR="00416467" w:rsidRPr="00800B92" w:rsidRDefault="00EE363E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bookmarkStart w:id="0" w:name="_GoBack"/>
            <w:bookmarkEnd w:id="0"/>
            <w:r>
              <w:rPr>
                <w:rFonts w:asciiTheme="minorHAnsi" w:hAnsiTheme="minorHAnsi" w:hint="cs"/>
                <w:sz w:val="28"/>
                <w:rtl/>
                <w:lang w:bidi="fa-IR"/>
              </w:rPr>
              <w:t>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lastRenderedPageBreak/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7E40"/>
    <w:rsid w:val="004817DA"/>
    <w:rsid w:val="004B0293"/>
    <w:rsid w:val="004D4C98"/>
    <w:rsid w:val="00520028"/>
    <w:rsid w:val="00553F2C"/>
    <w:rsid w:val="00591BD2"/>
    <w:rsid w:val="005A1361"/>
    <w:rsid w:val="00685E0A"/>
    <w:rsid w:val="006A38CD"/>
    <w:rsid w:val="006D7D4E"/>
    <w:rsid w:val="006F5F89"/>
    <w:rsid w:val="00700259"/>
    <w:rsid w:val="00706970"/>
    <w:rsid w:val="007163A4"/>
    <w:rsid w:val="00731BA2"/>
    <w:rsid w:val="007916EF"/>
    <w:rsid w:val="007B574C"/>
    <w:rsid w:val="007F3ADC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D7CEB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EB4FDB-7FC9-4B2E-B199-13AE8CA2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Masoomeh Manghabati</cp:lastModifiedBy>
  <cp:revision>4</cp:revision>
  <dcterms:created xsi:type="dcterms:W3CDTF">2016-09-07T13:26:00Z</dcterms:created>
  <dcterms:modified xsi:type="dcterms:W3CDTF">2016-09-25T07:58:00Z</dcterms:modified>
</cp:coreProperties>
</file>